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不依从/违背方案报告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51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项目名称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项目来源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方案版本号</w:t>
            </w:r>
          </w:p>
        </w:tc>
        <w:tc>
          <w:tcPr>
            <w:tcW w:w="174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方案版本日期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知情同意书版本号</w:t>
            </w:r>
          </w:p>
        </w:tc>
        <w:tc>
          <w:tcPr>
            <w:tcW w:w="174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知情同意书版本日期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伦理审查意见号</w:t>
            </w:r>
          </w:p>
        </w:tc>
        <w:tc>
          <w:tcPr>
            <w:tcW w:w="174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主要研究者/职称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spacing w:after="0" w:line="400" w:lineRule="exact"/>
        <w:jc w:val="center"/>
        <w:rPr>
          <w:rFonts w:ascii="Times New Roman" w:hAnsi="Times New Roman" w:cs="Times New Roman" w:eastAsiaTheme="minorEastAsia"/>
          <w:sz w:val="24"/>
          <w:szCs w:val="24"/>
        </w:rPr>
      </w:pPr>
    </w:p>
    <w:p>
      <w:pPr>
        <w:spacing w:after="0" w:line="360" w:lineRule="auto"/>
        <w:rPr>
          <w:rFonts w:ascii="黑体" w:hAnsi="黑体" w:eastAsia="黑体" w:cs="Times New Roman"/>
          <w:b/>
          <w:sz w:val="21"/>
          <w:szCs w:val="21"/>
        </w:rPr>
      </w:pPr>
      <w:r>
        <w:rPr>
          <w:rFonts w:ascii="黑体" w:hAnsi="黑体" w:eastAsia="黑体" w:cs="Times New Roman"/>
          <w:b/>
          <w:sz w:val="21"/>
          <w:szCs w:val="21"/>
        </w:rPr>
        <w:t>一、</w:t>
      </w:r>
      <w:r>
        <w:rPr>
          <w:rFonts w:hint="eastAsia" w:ascii="黑体" w:hAnsi="黑体" w:eastAsia="黑体" w:cs="Times New Roman"/>
          <w:sz w:val="21"/>
          <w:szCs w:val="21"/>
        </w:rPr>
        <w:t>不依从/</w:t>
      </w:r>
      <w:r>
        <w:rPr>
          <w:rFonts w:hint="eastAsia" w:ascii="黑体" w:hAnsi="黑体" w:eastAsia="黑体" w:cs="Times New Roman"/>
          <w:b/>
          <w:sz w:val="21"/>
          <w:szCs w:val="21"/>
        </w:rPr>
        <w:t>违背方案的情况</w:t>
      </w:r>
    </w:p>
    <w:p>
      <w:pPr>
        <w:pStyle w:val="8"/>
        <w:numPr>
          <w:ilvl w:val="0"/>
          <w:numId w:val="1"/>
        </w:numPr>
        <w:spacing w:after="0" w:line="360" w:lineRule="auto"/>
        <w:ind w:firstLineChars="0"/>
        <w:rPr>
          <w:rFonts w:hint="eastAsia"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一般不依从/违背方案：</w:t>
      </w:r>
    </w:p>
    <w:p>
      <w:pPr>
        <w:spacing w:after="0" w:line="360" w:lineRule="auto"/>
        <w:ind w:left="862"/>
        <w:rPr>
          <w:rFonts w:hint="eastAsia"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访视/观察/检查在时间窗外，但不影响受试者按方案继续使用研究药物，或不影响对主要疗效和关键的次要疗效指标评价的有效性：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</w:p>
    <w:p>
      <w:pPr>
        <w:spacing w:after="0" w:line="360" w:lineRule="auto"/>
        <w:ind w:left="862"/>
        <w:rPr>
          <w:rFonts w:hint="eastAsia"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方案规定观察的数据点或实验室参数缺失而导致数据的缺失，但不影响主要疗效或关键的次要疗效或安全性指标结果：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</w:p>
    <w:p>
      <w:pPr>
        <w:spacing w:after="0" w:line="360" w:lineRule="auto"/>
        <w:ind w:left="862"/>
        <w:rPr>
          <w:rFonts w:hint="eastAsia"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观察/评价不全，但不影响主要或次要关键疗效或安全结果：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</w:p>
    <w:p>
      <w:pPr>
        <w:spacing w:after="0" w:line="360" w:lineRule="auto"/>
        <w:ind w:left="862"/>
        <w:rPr>
          <w:rFonts w:hint="eastAsia"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研究者不配合监察/稽查等：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</w:p>
    <w:p>
      <w:pPr>
        <w:pStyle w:val="8"/>
        <w:numPr>
          <w:ilvl w:val="0"/>
          <w:numId w:val="1"/>
        </w:numPr>
        <w:spacing w:after="0" w:line="360" w:lineRule="auto"/>
        <w:ind w:firstLineChars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重大不依从/违背方案：</w:t>
      </w:r>
    </w:p>
    <w:p>
      <w:pPr>
        <w:pStyle w:val="8"/>
        <w:spacing w:after="0" w:line="360" w:lineRule="auto"/>
        <w:ind w:left="860" w:firstLine="0" w:firstLineChars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纳入不符合纳入标准的受试者：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</w:p>
    <w:p>
      <w:pPr>
        <w:pStyle w:val="8"/>
        <w:spacing w:after="0" w:line="360" w:lineRule="auto"/>
        <w:ind w:left="860" w:firstLine="0" w:firstLineChars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研究过程中，符合提前中止研究标准而没有让受试者退出：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</w:p>
    <w:p>
      <w:pPr>
        <w:pStyle w:val="8"/>
        <w:spacing w:after="0" w:line="360" w:lineRule="auto"/>
        <w:ind w:left="860" w:firstLine="0" w:firstLineChars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给予受试者错误的治疗或不正确的剂量：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</w:p>
    <w:p>
      <w:pPr>
        <w:pStyle w:val="8"/>
        <w:spacing w:after="0" w:line="360" w:lineRule="auto"/>
        <w:ind w:left="860" w:firstLine="0" w:firstLineChars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给予受试者方案禁用的合并用药：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</w:p>
    <w:p>
      <w:pPr>
        <w:pStyle w:val="8"/>
        <w:spacing w:after="0" w:line="360" w:lineRule="auto"/>
        <w:ind w:left="860" w:firstLine="0" w:firstLineChars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任何偏离研究特定的程序或评估，从而对受试者的权益、安全和健康，或对研究结果产生显著影响的研究行为：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</w:p>
    <w:p>
      <w:pPr>
        <w:pStyle w:val="8"/>
        <w:numPr>
          <w:ilvl w:val="0"/>
          <w:numId w:val="1"/>
        </w:numPr>
        <w:spacing w:after="0" w:line="360" w:lineRule="auto"/>
        <w:ind w:firstLineChars="0"/>
        <w:rPr>
          <w:rFonts w:ascii="Times New Roman" w:cs="Times New Roman" w:hAnsiTheme="minorEastAsia" w:eastAsiaTheme="minorEastAsia"/>
          <w:sz w:val="21"/>
          <w:szCs w:val="21"/>
          <w:u w:val="single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持续不依从/违背方案（不属于上述重大不依从/违背方案，但反复多次的不依从/违背方案）：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  <w:r>
        <w:rPr>
          <w:rFonts w:hint="eastAsia" w:ascii="Times New Roman" w:cs="Times New Roman" w:hAnsiTheme="minorEastAsia" w:eastAsiaTheme="minorEastAsia"/>
          <w:sz w:val="21"/>
          <w:szCs w:val="21"/>
          <w:u w:val="single"/>
        </w:rPr>
        <w:t xml:space="preserve">      </w:t>
      </w:r>
    </w:p>
    <w:p>
      <w:pPr>
        <w:pStyle w:val="8"/>
        <w:numPr>
          <w:ilvl w:val="0"/>
          <w:numId w:val="1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对违规事件不予以纠正：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</w:p>
    <w:p>
      <w:pPr>
        <w:pStyle w:val="8"/>
        <w:numPr>
          <w:ilvl w:val="0"/>
          <w:numId w:val="1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不依从/违背方案事件的描述：</w:t>
      </w:r>
    </w:p>
    <w:p>
      <w:pPr>
        <w:pStyle w:val="8"/>
        <w:spacing w:after="0" w:line="360" w:lineRule="auto"/>
        <w:ind w:left="86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spacing w:after="0" w:line="360" w:lineRule="auto"/>
        <w:rPr>
          <w:rFonts w:ascii="黑体" w:hAnsi="黑体" w:eastAsia="黑体" w:cs="Times New Roman"/>
          <w:b/>
          <w:sz w:val="21"/>
          <w:szCs w:val="21"/>
        </w:rPr>
      </w:pPr>
      <w:r>
        <w:rPr>
          <w:rFonts w:hint="eastAsia" w:ascii="黑体" w:hAnsi="黑体" w:eastAsia="黑体" w:cs="Times New Roman"/>
          <w:b/>
          <w:sz w:val="21"/>
          <w:szCs w:val="21"/>
        </w:rPr>
        <w:t>二、</w:t>
      </w:r>
      <w:r>
        <w:rPr>
          <w:rFonts w:hint="eastAsia" w:ascii="黑体" w:hAnsi="黑体" w:eastAsia="黑体" w:cs="Times New Roman"/>
          <w:sz w:val="21"/>
          <w:szCs w:val="21"/>
        </w:rPr>
        <w:t>不依从/</w:t>
      </w:r>
      <w:r>
        <w:rPr>
          <w:rFonts w:hint="eastAsia" w:ascii="黑体" w:hAnsi="黑体" w:eastAsia="黑体" w:cs="Times New Roman"/>
          <w:b/>
          <w:sz w:val="21"/>
          <w:szCs w:val="21"/>
        </w:rPr>
        <w:t>违背方案的影响</w:t>
      </w:r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是否影响受试者的安全：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是否影响受试者的权益：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是否对研究结果产生显著影响：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否</w:t>
      </w:r>
    </w:p>
    <w:p>
      <w:pPr>
        <w:spacing w:after="0" w:line="360" w:lineRule="auto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0" w:line="360" w:lineRule="auto"/>
        <w:rPr>
          <w:rFonts w:ascii="黑体" w:hAnsi="黑体" w:eastAsia="黑体" w:cs="Times New Roman"/>
          <w:b/>
          <w:sz w:val="21"/>
          <w:szCs w:val="21"/>
        </w:rPr>
      </w:pPr>
      <w:r>
        <w:rPr>
          <w:rFonts w:hint="eastAsia" w:ascii="黑体" w:hAnsi="黑体" w:eastAsia="黑体" w:cs="Times New Roman"/>
          <w:b/>
          <w:sz w:val="21"/>
          <w:szCs w:val="21"/>
        </w:rPr>
        <w:t>三、</w:t>
      </w:r>
      <w:r>
        <w:rPr>
          <w:rFonts w:hint="eastAsia" w:ascii="黑体" w:hAnsi="黑体" w:eastAsia="黑体" w:cs="Times New Roman"/>
          <w:sz w:val="21"/>
          <w:szCs w:val="21"/>
        </w:rPr>
        <w:t>不依从/</w:t>
      </w:r>
      <w:r>
        <w:rPr>
          <w:rFonts w:hint="eastAsia" w:ascii="黑体" w:hAnsi="黑体" w:eastAsia="黑体" w:cs="Times New Roman"/>
          <w:b/>
          <w:sz w:val="21"/>
          <w:szCs w:val="21"/>
        </w:rPr>
        <w:t>违背方案的处理措施</w:t>
      </w:r>
    </w:p>
    <w:p>
      <w:pPr>
        <w:pStyle w:val="8"/>
        <w:spacing w:after="0" w:line="400" w:lineRule="exact"/>
        <w:ind w:left="86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8"/>
        <w:spacing w:after="0" w:line="400" w:lineRule="exact"/>
        <w:ind w:left="86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8"/>
        <w:spacing w:after="0" w:line="400" w:lineRule="exact"/>
        <w:ind w:left="86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8"/>
        <w:spacing w:after="0" w:line="400" w:lineRule="exact"/>
        <w:ind w:left="86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8"/>
        <w:spacing w:after="0" w:line="400" w:lineRule="exact"/>
        <w:ind w:left="86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934"/>
        <w:gridCol w:w="1276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申请人签字</w:t>
            </w:r>
          </w:p>
        </w:tc>
        <w:tc>
          <w:tcPr>
            <w:tcW w:w="2934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日期</w:t>
            </w:r>
          </w:p>
        </w:tc>
        <w:tc>
          <w:tcPr>
            <w:tcW w:w="2877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pStyle w:val="8"/>
        <w:spacing w:after="0" w:line="400" w:lineRule="exact"/>
        <w:ind w:left="420" w:firstLine="0" w:firstLineChars="0"/>
        <w:rPr>
          <w:rFonts w:ascii="Times New Roman" w:hAnsi="Times New Roman" w:cs="Times New Roman" w:eastAsiaTheme="minorEastAsia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eastAsia="微软雅黑" w:cs="Times New Roman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rFonts w:ascii="Times New Roman" w:hAnsi="Times New Roman" w:cs="Times New Roman" w:eastAsiaTheme="minorEastAsia"/>
      </w:rPr>
    </w:pPr>
    <w:r>
      <w:rPr>
        <w:rFonts w:ascii="Times New Roman" w:cs="Times New Roman" w:hAnsiTheme="minorEastAsia" w:eastAsiaTheme="minorEastAsia"/>
      </w:rPr>
      <w:t>不依从</w:t>
    </w:r>
    <w:r>
      <w:rPr>
        <w:rFonts w:ascii="Times New Roman" w:hAnsi="Times New Roman" w:cs="Times New Roman" w:eastAsiaTheme="minorEastAsia"/>
      </w:rPr>
      <w:t>/</w:t>
    </w:r>
    <w:r>
      <w:rPr>
        <w:rFonts w:ascii="Times New Roman" w:cs="Times New Roman" w:hAnsiTheme="minorEastAsia" w:eastAsiaTheme="minorEastAsia"/>
      </w:rPr>
      <w:t>违背方案报告</w:t>
    </w:r>
    <w:r>
      <w:rPr>
        <w:rFonts w:ascii="Times New Roman" w:hAnsi="Times New Roman" w:cs="Times New Roman" w:eastAsiaTheme="minorEastAsia"/>
      </w:rPr>
      <w:t xml:space="preserve">                                                                                                 </w:t>
    </w:r>
    <w:r>
      <w:rPr>
        <w:rFonts w:ascii="Times New Roman" w:cs="Times New Roman" w:hAnsiTheme="minorEastAsia" w:eastAsiaTheme="minorEastAsia"/>
      </w:rPr>
      <w:t>文件编号：</w:t>
    </w:r>
    <w:r>
      <w:rPr>
        <w:rFonts w:ascii="Times New Roman" w:hAnsi="Times New Roman" w:cs="Times New Roman" w:eastAsiaTheme="minorEastAsia"/>
      </w:rPr>
      <w:t>AF/SQ-05/02.0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17B76"/>
    <w:multiLevelType w:val="multilevel"/>
    <w:tmpl w:val="43317B76"/>
    <w:lvl w:ilvl="0" w:tentative="0">
      <w:start w:val="1"/>
      <w:numFmt w:val="bullet"/>
      <w:lvlText w:val=""/>
      <w:lvlJc w:val="left"/>
      <w:pPr>
        <w:ind w:left="8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20" w:hanging="420"/>
      </w:pPr>
      <w:rPr>
        <w:rFonts w:hint="default" w:ascii="Wingdings" w:hAnsi="Wingdings"/>
      </w:rPr>
    </w:lvl>
  </w:abstractNum>
  <w:abstractNum w:abstractNumId="1">
    <w:nsid w:val="5C7412EE"/>
    <w:multiLevelType w:val="multilevel"/>
    <w:tmpl w:val="5C7412EE"/>
    <w:lvl w:ilvl="0" w:tentative="0">
      <w:start w:val="1"/>
      <w:numFmt w:val="bullet"/>
      <w:lvlText w:val=""/>
      <w:lvlJc w:val="left"/>
      <w:pPr>
        <w:ind w:left="8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B7EEF"/>
    <w:rsid w:val="000C2DD2"/>
    <w:rsid w:val="001259C4"/>
    <w:rsid w:val="00194A0D"/>
    <w:rsid w:val="001A4575"/>
    <w:rsid w:val="00245ED1"/>
    <w:rsid w:val="002862D7"/>
    <w:rsid w:val="002C000C"/>
    <w:rsid w:val="00323B43"/>
    <w:rsid w:val="0033121C"/>
    <w:rsid w:val="003D37D8"/>
    <w:rsid w:val="003D5656"/>
    <w:rsid w:val="003D67C2"/>
    <w:rsid w:val="003F59B7"/>
    <w:rsid w:val="003F7FC7"/>
    <w:rsid w:val="00426133"/>
    <w:rsid w:val="004358AB"/>
    <w:rsid w:val="00454EFB"/>
    <w:rsid w:val="00486DCA"/>
    <w:rsid w:val="004B30CB"/>
    <w:rsid w:val="004F5BB8"/>
    <w:rsid w:val="00616FA0"/>
    <w:rsid w:val="007670D3"/>
    <w:rsid w:val="007A61E8"/>
    <w:rsid w:val="00862E43"/>
    <w:rsid w:val="008B7726"/>
    <w:rsid w:val="008F6797"/>
    <w:rsid w:val="00A84C21"/>
    <w:rsid w:val="00B5221A"/>
    <w:rsid w:val="00BA2B7A"/>
    <w:rsid w:val="00BB0523"/>
    <w:rsid w:val="00BC1B20"/>
    <w:rsid w:val="00C07579"/>
    <w:rsid w:val="00C14FC5"/>
    <w:rsid w:val="00C4659D"/>
    <w:rsid w:val="00C6460E"/>
    <w:rsid w:val="00D31D50"/>
    <w:rsid w:val="00DE4A7C"/>
    <w:rsid w:val="00E36E4B"/>
    <w:rsid w:val="00E71C64"/>
    <w:rsid w:val="00EE637A"/>
    <w:rsid w:val="00F3490F"/>
    <w:rsid w:val="00F40A67"/>
    <w:rsid w:val="00F50772"/>
    <w:rsid w:val="00FE52BA"/>
    <w:rsid w:val="0983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AB6392-E80A-42E5-A335-0E074EF429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545</Characters>
  <Lines>4</Lines>
  <Paragraphs>1</Paragraphs>
  <TotalTime>81</TotalTime>
  <ScaleCrop>false</ScaleCrop>
  <LinksUpToDate>false</LinksUpToDate>
  <CharactersWithSpaces>639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2020-08-31T09:29:33Z</cp:lastPrinted>
  <dcterms:modified xsi:type="dcterms:W3CDTF">2020-08-31T09:29:49Z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